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8B3B9" w14:textId="77777777" w:rsidR="00360177" w:rsidRDefault="00000000">
      <w:pPr>
        <w:pBdr>
          <w:bottom w:val="single" w:sz="8" w:space="2" w:color="2E75B6"/>
        </w:pBdr>
        <w:spacing w:before="200" w:after="100"/>
      </w:pPr>
      <w:r>
        <w:rPr>
          <w:b/>
          <w:bCs/>
          <w:color w:val="1F4E79"/>
          <w:sz w:val="26"/>
          <w:szCs w:val="26"/>
        </w:rPr>
        <w:t>1. Identification du KPI</w:t>
      </w:r>
    </w:p>
    <w:p w14:paraId="5A939A7F" w14:textId="77777777" w:rsidR="00360177" w:rsidRDefault="0036017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360177" w14:paraId="07167F2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9ACF41" w14:textId="77777777" w:rsidR="00360177" w:rsidRDefault="00000000">
            <w:r>
              <w:rPr>
                <w:b/>
                <w:bCs/>
                <w:color w:val="1F4E79"/>
              </w:rPr>
              <w:t>Identifiant KPI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D0DD7A4" w14:textId="77777777" w:rsidR="00360177" w:rsidRDefault="00000000">
            <w:r>
              <w:rPr>
                <w:color w:val="222222"/>
              </w:rPr>
              <w:t>KPI-MSP-004</w:t>
            </w:r>
          </w:p>
        </w:tc>
      </w:tr>
      <w:tr w:rsidR="00360177" w14:paraId="6F6BA4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517D295" w14:textId="77777777" w:rsidR="00360177" w:rsidRDefault="00000000">
            <w:r>
              <w:rPr>
                <w:b/>
                <w:bCs/>
                <w:color w:val="1F4E79"/>
              </w:rPr>
              <w:t>Nom complet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DF65D71" w14:textId="77777777" w:rsidR="00360177" w:rsidRDefault="00000000">
            <w:r>
              <w:rPr>
                <w:color w:val="222222"/>
              </w:rPr>
              <w:t>Écart entre injections consécutives d'une même préparation</w:t>
            </w:r>
          </w:p>
        </w:tc>
      </w:tr>
      <w:tr w:rsidR="00360177" w14:paraId="316A176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F94694D" w14:textId="77777777" w:rsidR="00360177" w:rsidRDefault="00000000">
            <w:r>
              <w:rPr>
                <w:b/>
                <w:bCs/>
                <w:color w:val="1F4E79"/>
              </w:rPr>
              <w:t>Méthode associée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B986BBD" w14:textId="77777777" w:rsidR="00360177" w:rsidRDefault="00000000">
            <w:r>
              <w:rPr>
                <w:color w:val="222222"/>
              </w:rPr>
              <w:t xml:space="preserve">METH-HPLC-CARD-001 – Dosage impuretés </w:t>
            </w:r>
            <w:proofErr w:type="spellStart"/>
            <w:r>
              <w:rPr>
                <w:color w:val="222222"/>
              </w:rPr>
              <w:t>Cardiostat</w:t>
            </w:r>
            <w:proofErr w:type="spellEnd"/>
            <w:r>
              <w:rPr>
                <w:color w:val="222222"/>
              </w:rPr>
              <w:t>® 40 mg</w:t>
            </w:r>
          </w:p>
        </w:tc>
      </w:tr>
      <w:tr w:rsidR="00360177" w14:paraId="2D21455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E110A9C" w14:textId="77777777" w:rsidR="00360177" w:rsidRDefault="00000000">
            <w:r>
              <w:rPr>
                <w:b/>
                <w:bCs/>
                <w:color w:val="1F4E79"/>
              </w:rPr>
              <w:t>Intégration système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ED0D8FC" w14:textId="77777777" w:rsidR="00360177" w:rsidRDefault="00000000">
            <w:r>
              <w:rPr>
                <w:color w:val="222222"/>
              </w:rPr>
              <w:t xml:space="preserve">Export </w:t>
            </w:r>
            <w:proofErr w:type="spellStart"/>
            <w:r>
              <w:rPr>
                <w:color w:val="222222"/>
              </w:rPr>
              <w:t>OpenLab</w:t>
            </w:r>
            <w:proofErr w:type="spellEnd"/>
            <w:r>
              <w:rPr>
                <w:color w:val="222222"/>
              </w:rPr>
              <w:t xml:space="preserve"> → Import Minitab (quotidien automatique)</w:t>
            </w:r>
          </w:p>
        </w:tc>
      </w:tr>
      <w:tr w:rsidR="00360177" w14:paraId="022FEA5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06DF5F1" w14:textId="77777777" w:rsidR="00360177" w:rsidRDefault="00000000">
            <w:r>
              <w:rPr>
                <w:b/>
                <w:bCs/>
                <w:color w:val="1F4E79"/>
              </w:rPr>
              <w:t>Règle de détection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5810880" w14:textId="77777777" w:rsidR="00360177" w:rsidRDefault="00000000">
            <w:r>
              <w:rPr>
                <w:color w:val="222222"/>
              </w:rPr>
              <w:t>Nelson Test 1 — point &gt; 3σ</w:t>
            </w:r>
          </w:p>
        </w:tc>
      </w:tr>
      <w:tr w:rsidR="00360177" w14:paraId="78BCEC1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33E15A1" w14:textId="77777777" w:rsidR="00360177" w:rsidRDefault="00000000">
            <w:r>
              <w:rPr>
                <w:b/>
                <w:bCs/>
                <w:color w:val="1F4E79"/>
              </w:rPr>
              <w:t>Intégration CPV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D064EE" w14:textId="77777777" w:rsidR="00360177" w:rsidRDefault="00000000">
            <w:r>
              <w:rPr>
                <w:color w:val="222222"/>
              </w:rPr>
              <w:t>Revue mensuelle du taux d'alertes injection</w:t>
            </w:r>
          </w:p>
        </w:tc>
      </w:tr>
      <w:tr w:rsidR="00360177" w14:paraId="766AA38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B98393" w14:textId="77777777" w:rsidR="00360177" w:rsidRDefault="00000000">
            <w:r>
              <w:rPr>
                <w:b/>
                <w:bCs/>
                <w:color w:val="1F4E79"/>
              </w:rPr>
              <w:t>Référence validation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1F95CD2" w14:textId="77777777" w:rsidR="00360177" w:rsidRDefault="00000000">
            <w:r>
              <w:rPr>
                <w:color w:val="222222"/>
              </w:rPr>
              <w:t>Variabilité historique répétabilité : 4,2 % (réf. OOS-2026-047)</w:t>
            </w:r>
          </w:p>
        </w:tc>
      </w:tr>
    </w:tbl>
    <w:p w14:paraId="74106E92" w14:textId="77777777" w:rsidR="00360177" w:rsidRDefault="00360177">
      <w:pPr>
        <w:spacing w:after="120"/>
      </w:pPr>
    </w:p>
    <w:p w14:paraId="356ED30C" w14:textId="77777777" w:rsidR="00360177" w:rsidRDefault="00000000">
      <w:pPr>
        <w:pBdr>
          <w:bottom w:val="single" w:sz="8" w:space="2" w:color="2E75B6"/>
        </w:pBdr>
        <w:spacing w:before="200" w:after="100"/>
      </w:pPr>
      <w:r>
        <w:rPr>
          <w:b/>
          <w:bCs/>
          <w:color w:val="1F4E79"/>
          <w:sz w:val="26"/>
          <w:szCs w:val="26"/>
        </w:rPr>
        <w:t>2. Seuils de contrôle</w:t>
      </w:r>
    </w:p>
    <w:p w14:paraId="77A33E82" w14:textId="77777777" w:rsidR="00360177" w:rsidRDefault="0036017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201"/>
        <w:gridCol w:w="2986"/>
        <w:gridCol w:w="202"/>
        <w:gridCol w:w="2986"/>
      </w:tblGrid>
      <w:tr w:rsidR="00360177" w14:paraId="53C5A121" w14:textId="77777777">
        <w:tblPrEx>
          <w:tblCellMar>
            <w:top w:w="0" w:type="dxa"/>
            <w:bottom w:w="0" w:type="dxa"/>
          </w:tblCellMar>
        </w:tblPrEx>
        <w:tc>
          <w:tcPr>
            <w:tcW w:w="2960" w:type="dxa"/>
            <w:tcBorders>
              <w:top w:val="single" w:sz="1" w:space="0" w:color="1D6B3A"/>
              <w:left w:val="single" w:sz="1" w:space="0" w:color="1D6B3A"/>
              <w:bottom w:val="single" w:sz="1" w:space="0" w:color="1D6B3A"/>
              <w:right w:val="single" w:sz="1" w:space="0" w:color="1D6B3A"/>
            </w:tcBorders>
            <w:shd w:val="clear" w:color="auto" w:fill="E2EFDA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CA2088C" w14:textId="77777777" w:rsidR="00360177" w:rsidRDefault="00000000">
            <w:pPr>
              <w:jc w:val="center"/>
            </w:pPr>
            <w:r>
              <w:rPr>
                <w:color w:val="1D6B3A"/>
                <w:sz w:val="18"/>
                <w:szCs w:val="18"/>
              </w:rPr>
              <w:t>Valeur cible</w:t>
            </w:r>
          </w:p>
          <w:p w14:paraId="7F2EBE7E" w14:textId="77777777" w:rsidR="00360177" w:rsidRDefault="00000000">
            <w:pPr>
              <w:jc w:val="center"/>
            </w:pPr>
            <w:r>
              <w:rPr>
                <w:b/>
                <w:bCs/>
                <w:color w:val="1D6B3A"/>
                <w:sz w:val="28"/>
                <w:szCs w:val="28"/>
              </w:rPr>
              <w:t>&lt; 1,0 %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F4EED99" w14:textId="77777777" w:rsidR="00360177" w:rsidRDefault="00360177"/>
        </w:tc>
        <w:tc>
          <w:tcPr>
            <w:tcW w:w="296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FDC9F1" w14:textId="77777777" w:rsidR="00360177" w:rsidRDefault="00000000">
            <w:pPr>
              <w:jc w:val="center"/>
            </w:pPr>
            <w:r>
              <w:rPr>
                <w:color w:val="7D4000"/>
                <w:sz w:val="18"/>
                <w:szCs w:val="18"/>
              </w:rPr>
              <w:t>Limite d'alerte</w:t>
            </w:r>
          </w:p>
          <w:p w14:paraId="103907B5" w14:textId="77777777" w:rsidR="00360177" w:rsidRDefault="00000000">
            <w:pPr>
              <w:jc w:val="center"/>
            </w:pPr>
            <w:r>
              <w:rPr>
                <w:b/>
                <w:bCs/>
                <w:color w:val="7D4000"/>
                <w:sz w:val="28"/>
                <w:szCs w:val="28"/>
              </w:rPr>
              <w:t>1,5 %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6E96678" w14:textId="77777777" w:rsidR="00360177" w:rsidRDefault="00360177"/>
        </w:tc>
        <w:tc>
          <w:tcPr>
            <w:tcW w:w="2960" w:type="dxa"/>
            <w:tcBorders>
              <w:top w:val="single" w:sz="1" w:space="0" w:color="A32D2D"/>
              <w:left w:val="single" w:sz="1" w:space="0" w:color="A32D2D"/>
              <w:bottom w:val="single" w:sz="1" w:space="0" w:color="A32D2D"/>
              <w:right w:val="single" w:sz="1" w:space="0" w:color="A32D2D"/>
            </w:tcBorders>
            <w:shd w:val="clear" w:color="auto" w:fill="FCEBEB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0D00E0" w14:textId="77777777" w:rsidR="00360177" w:rsidRDefault="00000000">
            <w:pPr>
              <w:jc w:val="center"/>
            </w:pPr>
            <w:r>
              <w:rPr>
                <w:color w:val="A32D2D"/>
                <w:sz w:val="18"/>
                <w:szCs w:val="18"/>
              </w:rPr>
              <w:t>Limite d'action</w:t>
            </w:r>
          </w:p>
          <w:p w14:paraId="54E7982C" w14:textId="77777777" w:rsidR="00360177" w:rsidRDefault="00000000">
            <w:pPr>
              <w:jc w:val="center"/>
            </w:pPr>
            <w:r>
              <w:rPr>
                <w:b/>
                <w:bCs/>
                <w:color w:val="A32D2D"/>
                <w:sz w:val="28"/>
                <w:szCs w:val="28"/>
              </w:rPr>
              <w:t>2,5 %</w:t>
            </w:r>
          </w:p>
        </w:tc>
      </w:tr>
    </w:tbl>
    <w:p w14:paraId="5FC36453" w14:textId="77777777" w:rsidR="00360177" w:rsidRDefault="0036017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800"/>
        <w:gridCol w:w="40"/>
        <w:gridCol w:w="1860"/>
        <w:gridCol w:w="20"/>
        <w:gridCol w:w="1880"/>
      </w:tblGrid>
      <w:tr w:rsidR="00360177" w14:paraId="4624D033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gridSpan w:val="3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ECAF39" w14:textId="77777777" w:rsidR="00360177" w:rsidRDefault="00000000">
            <w:pPr>
              <w:jc w:val="center"/>
            </w:pPr>
            <w:r>
              <w:rPr>
                <w:b/>
                <w:bCs/>
                <w:color w:val="1D6B3A"/>
                <w:sz w:val="18"/>
                <w:szCs w:val="18"/>
              </w:rPr>
              <w:t>Conforme — &lt; 1,0 %</w:t>
            </w:r>
          </w:p>
        </w:tc>
        <w:tc>
          <w:tcPr>
            <w:tcW w:w="188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0B0D33" w14:textId="77777777" w:rsidR="00360177" w:rsidRDefault="00000000">
            <w:pPr>
              <w:jc w:val="center"/>
            </w:pPr>
            <w:r>
              <w:rPr>
                <w:b/>
                <w:bCs/>
                <w:color w:val="7D4000"/>
                <w:sz w:val="18"/>
                <w:szCs w:val="18"/>
              </w:rPr>
              <w:t>Alerte 1,0–1,5 %</w:t>
            </w:r>
          </w:p>
        </w:tc>
        <w:tc>
          <w:tcPr>
            <w:tcW w:w="18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CEBEB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064227" w14:textId="77777777" w:rsidR="00360177" w:rsidRDefault="00000000">
            <w:pPr>
              <w:jc w:val="center"/>
            </w:pPr>
            <w:r>
              <w:rPr>
                <w:b/>
                <w:bCs/>
                <w:color w:val="A32D2D"/>
                <w:sz w:val="18"/>
                <w:szCs w:val="18"/>
              </w:rPr>
              <w:t>Action &gt; 2,5 %</w:t>
            </w:r>
          </w:p>
        </w:tc>
      </w:tr>
      <w:tr w:rsidR="00360177" w14:paraId="4D2E9568" w14:textId="77777777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00" w:type="dxa"/>
              <w:bottom w:w="0" w:type="dxa"/>
              <w:right w:w="100" w:type="dxa"/>
            </w:tcMar>
          </w:tcPr>
          <w:p w14:paraId="0D53FC16" w14:textId="77777777" w:rsidR="00360177" w:rsidRDefault="00000000">
            <w:r>
              <w:rPr>
                <w:color w:val="666666"/>
                <w:sz w:val="16"/>
                <w:szCs w:val="16"/>
              </w:rPr>
              <w:t>0 %</w:t>
            </w:r>
          </w:p>
        </w:tc>
        <w:tc>
          <w:tcPr>
            <w:tcW w:w="2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00" w:type="dxa"/>
              <w:bottom w:w="0" w:type="dxa"/>
              <w:right w:w="100" w:type="dxa"/>
            </w:tcMar>
          </w:tcPr>
          <w:p w14:paraId="69FA9D60" w14:textId="77777777" w:rsidR="00360177" w:rsidRDefault="00000000">
            <w:pPr>
              <w:jc w:val="right"/>
            </w:pPr>
            <w:r>
              <w:rPr>
                <w:color w:val="666666"/>
                <w:sz w:val="16"/>
                <w:szCs w:val="16"/>
              </w:rPr>
              <w:t>1,0 %</w:t>
            </w:r>
          </w:p>
        </w:tc>
        <w:tc>
          <w:tcPr>
            <w:tcW w:w="19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00" w:type="dxa"/>
              <w:bottom w:w="0" w:type="dxa"/>
              <w:right w:w="100" w:type="dxa"/>
            </w:tcMar>
          </w:tcPr>
          <w:p w14:paraId="4E744D5B" w14:textId="77777777" w:rsidR="00360177" w:rsidRDefault="00000000">
            <w:pPr>
              <w:jc w:val="center"/>
            </w:pPr>
            <w:r>
              <w:rPr>
                <w:color w:val="666666"/>
                <w:sz w:val="16"/>
                <w:szCs w:val="16"/>
              </w:rPr>
              <w:t>1,5 %</w:t>
            </w:r>
          </w:p>
        </w:tc>
        <w:tc>
          <w:tcPr>
            <w:tcW w:w="190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00" w:type="dxa"/>
              <w:bottom w:w="0" w:type="dxa"/>
              <w:right w:w="100" w:type="dxa"/>
            </w:tcMar>
          </w:tcPr>
          <w:p w14:paraId="5EC881F6" w14:textId="77777777" w:rsidR="00360177" w:rsidRDefault="00000000">
            <w:pPr>
              <w:jc w:val="right"/>
            </w:pPr>
            <w:r>
              <w:rPr>
                <w:color w:val="666666"/>
                <w:sz w:val="16"/>
                <w:szCs w:val="16"/>
              </w:rPr>
              <w:t>2,5 % +</w:t>
            </w:r>
          </w:p>
        </w:tc>
      </w:tr>
    </w:tbl>
    <w:p w14:paraId="0F2684DC" w14:textId="77777777" w:rsidR="00360177" w:rsidRDefault="00360177">
      <w:pPr>
        <w:spacing w:after="60"/>
      </w:pPr>
    </w:p>
    <w:p w14:paraId="53C3A9BD" w14:textId="77777777" w:rsidR="00360177" w:rsidRDefault="00000000">
      <w:pPr>
        <w:pBdr>
          <w:left w:val="single" w:sz="16" w:space="8" w:color="2E75B6"/>
        </w:pBdr>
        <w:spacing w:before="40" w:after="60"/>
        <w:ind w:left="300"/>
      </w:pPr>
      <w:r>
        <w:rPr>
          <w:b/>
          <w:bCs/>
          <w:color w:val="1F4E79"/>
        </w:rPr>
        <w:t xml:space="preserve">Base de référence : </w:t>
      </w:r>
      <w:r>
        <w:rPr>
          <w:color w:val="333333"/>
        </w:rPr>
        <w:t>Valeur cible &lt; 1,0 % établie sur la variabilité historique de répétabilité (4,2 % – réf. OOS-2026-047). Les limites d'alerte (1,5 %) et d'action (2,5 %) correspondent respectivement à 1,5× et 2,5× la cible.</w:t>
      </w:r>
    </w:p>
    <w:p w14:paraId="14538BE2" w14:textId="77777777" w:rsidR="00360177" w:rsidRDefault="00360177">
      <w:pPr>
        <w:spacing w:after="120"/>
      </w:pPr>
    </w:p>
    <w:p w14:paraId="642A16DF" w14:textId="77777777" w:rsidR="00360177" w:rsidRDefault="00000000">
      <w:pPr>
        <w:pBdr>
          <w:bottom w:val="single" w:sz="8" w:space="2" w:color="2E75B6"/>
        </w:pBdr>
        <w:spacing w:before="200" w:after="100"/>
      </w:pPr>
      <w:r>
        <w:rPr>
          <w:b/>
          <w:bCs/>
          <w:color w:val="1F4E79"/>
          <w:sz w:val="26"/>
          <w:szCs w:val="26"/>
        </w:rPr>
        <w:t>3. Paramètres techniques</w:t>
      </w:r>
    </w:p>
    <w:p w14:paraId="3DBC4493" w14:textId="77777777" w:rsidR="00360177" w:rsidRDefault="0036017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360177" w14:paraId="3C9E0E8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9F93E4" w14:textId="77777777" w:rsidR="00360177" w:rsidRDefault="00000000">
            <w:r>
              <w:rPr>
                <w:b/>
                <w:bCs/>
                <w:color w:val="333333"/>
              </w:rPr>
              <w:t>Formule de calcul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6F97F86" w14:textId="77777777" w:rsidR="00360177" w:rsidRDefault="00000000">
            <w:r>
              <w:t>|</w:t>
            </w:r>
            <w:proofErr w:type="spellStart"/>
            <w:r>
              <w:t>Aire_Inj</w:t>
            </w:r>
            <w:proofErr w:type="spellEnd"/>
            <w:r>
              <w:t xml:space="preserve">(n) − </w:t>
            </w:r>
            <w:proofErr w:type="spellStart"/>
            <w:r>
              <w:t>Aire_Inj</w:t>
            </w:r>
            <w:proofErr w:type="spellEnd"/>
            <w:r>
              <w:t>(n-</w:t>
            </w:r>
            <w:proofErr w:type="gramStart"/>
            <w:r>
              <w:t>1)|</w:t>
            </w:r>
            <w:proofErr w:type="gramEnd"/>
            <w:r>
              <w:t xml:space="preserve"> / Moyenne × 100 (%)</w:t>
            </w:r>
          </w:p>
        </w:tc>
      </w:tr>
      <w:tr w:rsidR="00360177" w14:paraId="2BA5F31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9FF22A" w14:textId="77777777" w:rsidR="00360177" w:rsidRDefault="00000000">
            <w:r>
              <w:rPr>
                <w:b/>
                <w:bCs/>
                <w:color w:val="333333"/>
              </w:rPr>
              <w:t>Fréquence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119F3AD" w14:textId="77777777" w:rsidR="00360177" w:rsidRDefault="00000000">
            <w:r>
              <w:t>Calculé automatiquement par CDS pour chaque paire d'injections consécutives</w:t>
            </w:r>
          </w:p>
        </w:tc>
      </w:tr>
      <w:tr w:rsidR="00360177" w14:paraId="6059C80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86B7886" w14:textId="77777777" w:rsidR="00360177" w:rsidRDefault="00000000">
            <w:r>
              <w:rPr>
                <w:b/>
                <w:bCs/>
                <w:color w:val="333333"/>
              </w:rPr>
              <w:t>Source des données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DFB64E0" w14:textId="77777777" w:rsidR="00360177" w:rsidRDefault="00000000">
            <w:r>
              <w:t xml:space="preserve">Export </w:t>
            </w:r>
            <w:proofErr w:type="spellStart"/>
            <w:r>
              <w:t>OpenLab</w:t>
            </w:r>
            <w:proofErr w:type="spellEnd"/>
            <w:r>
              <w:t xml:space="preserve"> → Import Minitab quotidien</w:t>
            </w:r>
          </w:p>
        </w:tc>
      </w:tr>
      <w:tr w:rsidR="00360177" w14:paraId="7719517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F5CA377" w14:textId="77777777" w:rsidR="00360177" w:rsidRDefault="00000000">
            <w:r>
              <w:rPr>
                <w:b/>
                <w:bCs/>
                <w:color w:val="333333"/>
              </w:rPr>
              <w:t>Règle de détection MSP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FF7F907" w14:textId="77777777" w:rsidR="00360177" w:rsidRDefault="00000000">
            <w:r>
              <w:t>Nelson Test 1 : point &gt; 3σ</w:t>
            </w:r>
          </w:p>
        </w:tc>
      </w:tr>
      <w:tr w:rsidR="00360177" w14:paraId="2F82F9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1582159" w14:textId="77777777" w:rsidR="00360177" w:rsidRDefault="00000000">
            <w:r>
              <w:rPr>
                <w:b/>
                <w:bCs/>
                <w:color w:val="333333"/>
              </w:rPr>
              <w:t>Référence historique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D040D67" w14:textId="77777777" w:rsidR="00360177" w:rsidRDefault="00000000">
            <w:r>
              <w:t>Variabilité de répétabilité : 4,2 % (réf. étude de validation et OOS-2026-047)</w:t>
            </w:r>
          </w:p>
        </w:tc>
      </w:tr>
      <w:tr w:rsidR="00360177" w14:paraId="10052F2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EAA1EC7" w14:textId="77777777" w:rsidR="00360177" w:rsidRDefault="00000000">
            <w:r>
              <w:rPr>
                <w:b/>
                <w:bCs/>
                <w:color w:val="333333"/>
              </w:rPr>
              <w:t>Intégration CPV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F6BA77C" w14:textId="77777777" w:rsidR="00360177" w:rsidRDefault="00000000">
            <w:r>
              <w:t>Revue mensuelle du taux d'alertes injection dans le rapport CPV</w:t>
            </w:r>
          </w:p>
        </w:tc>
      </w:tr>
    </w:tbl>
    <w:p w14:paraId="31EF467C" w14:textId="77777777" w:rsidR="00360177" w:rsidRDefault="00360177">
      <w:pPr>
        <w:spacing w:after="120"/>
      </w:pPr>
    </w:p>
    <w:p w14:paraId="436FCFEC" w14:textId="77777777" w:rsidR="00360177" w:rsidRDefault="00000000">
      <w:pPr>
        <w:pBdr>
          <w:bottom w:val="single" w:sz="8" w:space="2" w:color="2E75B6"/>
        </w:pBdr>
        <w:spacing w:before="200" w:after="100"/>
      </w:pPr>
      <w:r>
        <w:rPr>
          <w:b/>
          <w:bCs/>
          <w:color w:val="1F4E79"/>
          <w:sz w:val="26"/>
          <w:szCs w:val="26"/>
        </w:rPr>
        <w:t>4. Actions selon niveau d'alerte</w:t>
      </w:r>
    </w:p>
    <w:p w14:paraId="33887883" w14:textId="77777777" w:rsidR="00360177" w:rsidRDefault="0036017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560"/>
        <w:gridCol w:w="4200"/>
        <w:gridCol w:w="2400"/>
      </w:tblGrid>
      <w:tr w:rsidR="00360177" w14:paraId="1E212FB2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5840306" w14:textId="77777777" w:rsidR="00360177" w:rsidRDefault="00000000">
            <w:pPr>
              <w:jc w:val="center"/>
            </w:pPr>
            <w:r>
              <w:rPr>
                <w:b/>
                <w:bCs/>
                <w:color w:val="FFFFFF"/>
              </w:rPr>
              <w:t>Niveau</w:t>
            </w:r>
          </w:p>
        </w:tc>
        <w:tc>
          <w:tcPr>
            <w:tcW w:w="1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0474B0F6" w14:textId="77777777" w:rsidR="00360177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Seuil</w:t>
            </w:r>
          </w:p>
        </w:tc>
        <w:tc>
          <w:tcPr>
            <w:tcW w:w="4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0BB56E30" w14:textId="77777777" w:rsidR="00360177" w:rsidRDefault="00000000">
            <w:pPr>
              <w:jc w:val="center"/>
            </w:pPr>
            <w:r>
              <w:rPr>
                <w:b/>
                <w:bCs/>
                <w:color w:val="FFFFFF"/>
              </w:rPr>
              <w:t>Action requise</w:t>
            </w:r>
          </w:p>
        </w:tc>
        <w:tc>
          <w:tcPr>
            <w:tcW w:w="2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A50F058" w14:textId="77777777" w:rsidR="00360177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Responsable</w:t>
            </w:r>
          </w:p>
        </w:tc>
      </w:tr>
      <w:tr w:rsidR="00360177" w14:paraId="30E40934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1D6B3A"/>
              <w:left w:val="single" w:sz="1" w:space="0" w:color="1D6B3A"/>
              <w:bottom w:val="single" w:sz="1" w:space="0" w:color="1D6B3A"/>
              <w:right w:val="single" w:sz="1" w:space="0" w:color="1D6B3A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A2F7D54" w14:textId="77777777" w:rsidR="00360177" w:rsidRDefault="00000000">
            <w:pPr>
              <w:jc w:val="center"/>
            </w:pPr>
            <w:r>
              <w:rPr>
                <w:b/>
                <w:bCs/>
                <w:color w:val="1D6B3A"/>
              </w:rPr>
              <w:t>Normal</w:t>
            </w:r>
          </w:p>
        </w:tc>
        <w:tc>
          <w:tcPr>
            <w:tcW w:w="1560" w:type="dxa"/>
            <w:tcBorders>
              <w:top w:val="single" w:sz="1" w:space="0" w:color="1D6B3A"/>
              <w:left w:val="single" w:sz="1" w:space="0" w:color="1D6B3A"/>
              <w:bottom w:val="single" w:sz="1" w:space="0" w:color="1D6B3A"/>
              <w:right w:val="single" w:sz="1" w:space="0" w:color="1D6B3A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AE7EC2A" w14:textId="77777777" w:rsidR="00360177" w:rsidRDefault="00000000">
            <w:pPr>
              <w:jc w:val="center"/>
            </w:pPr>
            <w:r>
              <w:rPr>
                <w:b/>
                <w:bCs/>
                <w:color w:val="1D6B3A"/>
              </w:rPr>
              <w:t>&lt; 1,0 %</w:t>
            </w:r>
          </w:p>
        </w:tc>
        <w:tc>
          <w:tcPr>
            <w:tcW w:w="4200" w:type="dxa"/>
            <w:tcBorders>
              <w:top w:val="single" w:sz="1" w:space="0" w:color="1D6B3A"/>
              <w:left w:val="single" w:sz="1" w:space="0" w:color="1D6B3A"/>
              <w:bottom w:val="single" w:sz="1" w:space="0" w:color="1D6B3A"/>
              <w:right w:val="single" w:sz="1" w:space="0" w:color="1D6B3A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E5BC96B" w14:textId="77777777" w:rsidR="00360177" w:rsidRDefault="00000000">
            <w:r>
              <w:rPr>
                <w:color w:val="1D6B3A"/>
              </w:rPr>
              <w:t>Aucune action. Enregistrement automatique CDS.</w:t>
            </w:r>
          </w:p>
        </w:tc>
        <w:tc>
          <w:tcPr>
            <w:tcW w:w="2400" w:type="dxa"/>
            <w:tcBorders>
              <w:top w:val="single" w:sz="1" w:space="0" w:color="1D6B3A"/>
              <w:left w:val="single" w:sz="1" w:space="0" w:color="1D6B3A"/>
              <w:bottom w:val="single" w:sz="1" w:space="0" w:color="1D6B3A"/>
              <w:right w:val="single" w:sz="1" w:space="0" w:color="1D6B3A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24AF69F" w14:textId="77777777" w:rsidR="00360177" w:rsidRDefault="00000000">
            <w:r>
              <w:rPr>
                <w:color w:val="1D6B3A"/>
              </w:rPr>
              <w:t>CDS automatique</w:t>
            </w:r>
          </w:p>
        </w:tc>
      </w:tr>
      <w:tr w:rsidR="00360177" w14:paraId="08E36D9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741E8C2" w14:textId="77777777" w:rsidR="00360177" w:rsidRDefault="00000000">
            <w:pPr>
              <w:jc w:val="center"/>
            </w:pPr>
            <w:r>
              <w:rPr>
                <w:b/>
                <w:bCs/>
                <w:color w:val="7D4000"/>
              </w:rPr>
              <w:lastRenderedPageBreak/>
              <w:t>Vigilance</w:t>
            </w:r>
          </w:p>
        </w:tc>
        <w:tc>
          <w:tcPr>
            <w:tcW w:w="156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68B1E49" w14:textId="77777777" w:rsidR="00360177" w:rsidRDefault="00000000">
            <w:pPr>
              <w:jc w:val="center"/>
            </w:pPr>
            <w:r>
              <w:rPr>
                <w:b/>
                <w:bCs/>
                <w:color w:val="7D4000"/>
              </w:rPr>
              <w:t>1,0–1,5 %</w:t>
            </w:r>
          </w:p>
        </w:tc>
        <w:tc>
          <w:tcPr>
            <w:tcW w:w="420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215BF1E" w14:textId="77777777" w:rsidR="00360177" w:rsidRDefault="00000000">
            <w:r>
              <w:rPr>
                <w:color w:val="7D4000"/>
              </w:rPr>
              <w:t>Documenter l'occurrence dans le journal de bord. Surveiller les injections suivantes.</w:t>
            </w:r>
          </w:p>
        </w:tc>
        <w:tc>
          <w:tcPr>
            <w:tcW w:w="240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751D19E" w14:textId="77777777" w:rsidR="00360177" w:rsidRDefault="00000000">
            <w:r>
              <w:rPr>
                <w:color w:val="7D4000"/>
              </w:rPr>
              <w:t>Analyste</w:t>
            </w:r>
          </w:p>
        </w:tc>
      </w:tr>
      <w:tr w:rsidR="00360177" w14:paraId="74341AC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7EF4558" w14:textId="77777777" w:rsidR="00360177" w:rsidRDefault="00000000">
            <w:pPr>
              <w:jc w:val="center"/>
            </w:pPr>
            <w:r>
              <w:rPr>
                <w:b/>
                <w:bCs/>
                <w:color w:val="7D4000"/>
              </w:rPr>
              <w:t>Alerte</w:t>
            </w:r>
          </w:p>
        </w:tc>
        <w:tc>
          <w:tcPr>
            <w:tcW w:w="156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1440980" w14:textId="77777777" w:rsidR="00360177" w:rsidRDefault="00000000">
            <w:pPr>
              <w:jc w:val="center"/>
            </w:pPr>
            <w:r>
              <w:rPr>
                <w:b/>
                <w:bCs/>
                <w:color w:val="7D4000"/>
              </w:rPr>
              <w:t>1,5–2,5 %</w:t>
            </w:r>
          </w:p>
        </w:tc>
        <w:tc>
          <w:tcPr>
            <w:tcW w:w="420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A2D46BF" w14:textId="77777777" w:rsidR="00360177" w:rsidRDefault="00000000">
            <w:r>
              <w:rPr>
                <w:color w:val="7D4000"/>
              </w:rPr>
              <w:t>Surveillance renforcée activée. Signaler au Responsable QC. Consigner dans le système qualité.</w:t>
            </w:r>
          </w:p>
        </w:tc>
        <w:tc>
          <w:tcPr>
            <w:tcW w:w="2400" w:type="dxa"/>
            <w:tcBorders>
              <w:top w:val="single" w:sz="1" w:space="0" w:color="7D4000"/>
              <w:left w:val="single" w:sz="1" w:space="0" w:color="7D4000"/>
              <w:bottom w:val="single" w:sz="1" w:space="0" w:color="7D4000"/>
              <w:right w:val="single" w:sz="1" w:space="0" w:color="7D4000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5FFDFA8" w14:textId="77777777" w:rsidR="00360177" w:rsidRDefault="00000000">
            <w:r>
              <w:rPr>
                <w:color w:val="7D4000"/>
              </w:rPr>
              <w:t>Analyste + Resp. QC</w:t>
            </w:r>
          </w:p>
        </w:tc>
      </w:tr>
      <w:tr w:rsidR="00360177" w14:paraId="718F14E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A32D2D"/>
              <w:left w:val="single" w:sz="1" w:space="0" w:color="A32D2D"/>
              <w:bottom w:val="single" w:sz="1" w:space="0" w:color="A32D2D"/>
              <w:right w:val="single" w:sz="1" w:space="0" w:color="A32D2D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DF52489" w14:textId="77777777" w:rsidR="00360177" w:rsidRDefault="00000000">
            <w:pPr>
              <w:jc w:val="center"/>
            </w:pPr>
            <w:r>
              <w:rPr>
                <w:b/>
                <w:bCs/>
                <w:color w:val="A32D2D"/>
              </w:rPr>
              <w:t>Action</w:t>
            </w:r>
          </w:p>
        </w:tc>
        <w:tc>
          <w:tcPr>
            <w:tcW w:w="1560" w:type="dxa"/>
            <w:tcBorders>
              <w:top w:val="single" w:sz="1" w:space="0" w:color="A32D2D"/>
              <w:left w:val="single" w:sz="1" w:space="0" w:color="A32D2D"/>
              <w:bottom w:val="single" w:sz="1" w:space="0" w:color="A32D2D"/>
              <w:right w:val="single" w:sz="1" w:space="0" w:color="A32D2D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0874B34" w14:textId="77777777" w:rsidR="00360177" w:rsidRDefault="00000000">
            <w:pPr>
              <w:jc w:val="center"/>
            </w:pPr>
            <w:r>
              <w:rPr>
                <w:b/>
                <w:bCs/>
                <w:color w:val="A32D2D"/>
              </w:rPr>
              <w:t>&gt; 2,5 %</w:t>
            </w:r>
          </w:p>
        </w:tc>
        <w:tc>
          <w:tcPr>
            <w:tcW w:w="4200" w:type="dxa"/>
            <w:tcBorders>
              <w:top w:val="single" w:sz="1" w:space="0" w:color="A32D2D"/>
              <w:left w:val="single" w:sz="1" w:space="0" w:color="A32D2D"/>
              <w:bottom w:val="single" w:sz="1" w:space="0" w:color="A32D2D"/>
              <w:right w:val="single" w:sz="1" w:space="0" w:color="A32D2D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15CBC8B" w14:textId="77777777" w:rsidR="00360177" w:rsidRDefault="00000000">
            <w:r>
              <w:rPr>
                <w:color w:val="A32D2D"/>
              </w:rPr>
              <w:t xml:space="preserve">Vérifier l'injecteur (étanchéité, précision volume). </w:t>
            </w:r>
            <w:proofErr w:type="spellStart"/>
            <w:r>
              <w:rPr>
                <w:color w:val="A32D2D"/>
              </w:rPr>
              <w:t>Ré-injecter</w:t>
            </w:r>
            <w:proofErr w:type="spellEnd"/>
            <w:r>
              <w:rPr>
                <w:color w:val="A32D2D"/>
              </w:rPr>
              <w:t xml:space="preserve"> la même préparation. Ouvrir un événement qualité si récurrence.</w:t>
            </w:r>
          </w:p>
        </w:tc>
        <w:tc>
          <w:tcPr>
            <w:tcW w:w="2400" w:type="dxa"/>
            <w:tcBorders>
              <w:top w:val="single" w:sz="1" w:space="0" w:color="A32D2D"/>
              <w:left w:val="single" w:sz="1" w:space="0" w:color="A32D2D"/>
              <w:bottom w:val="single" w:sz="1" w:space="0" w:color="A32D2D"/>
              <w:right w:val="single" w:sz="1" w:space="0" w:color="A32D2D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DB9F23E" w14:textId="77777777" w:rsidR="00360177" w:rsidRDefault="00000000">
            <w:r>
              <w:rPr>
                <w:color w:val="A32D2D"/>
              </w:rPr>
              <w:t>Analyste + Maintenance</w:t>
            </w:r>
          </w:p>
        </w:tc>
      </w:tr>
    </w:tbl>
    <w:p w14:paraId="1920EC35" w14:textId="77777777" w:rsidR="00360177" w:rsidRDefault="00360177">
      <w:pPr>
        <w:spacing w:after="80"/>
      </w:pPr>
    </w:p>
    <w:p w14:paraId="1F127975" w14:textId="77777777" w:rsidR="00360177" w:rsidRDefault="00000000">
      <w:pPr>
        <w:pBdr>
          <w:left w:val="single" w:sz="16" w:space="8" w:color="7D4000"/>
        </w:pBdr>
        <w:spacing w:before="40" w:after="60"/>
        <w:ind w:left="300"/>
      </w:pPr>
      <w:r>
        <w:rPr>
          <w:b/>
          <w:bCs/>
          <w:color w:val="7D4000"/>
        </w:rPr>
        <w:t xml:space="preserve">Rappel réglementaire : </w:t>
      </w:r>
      <w:r>
        <w:rPr>
          <w:color w:val="7D4000"/>
        </w:rPr>
        <w:t>Toute investigation injection &gt; 2,5 % doit être documentée conformément à la FDA OOS Guidance (2006) et archivée selon les principes ALCOA+. Le résultat suspect n'est pas supprimé des données brutes.</w:t>
      </w:r>
    </w:p>
    <w:p w14:paraId="22CA4CEE" w14:textId="77777777" w:rsidR="00360177" w:rsidRDefault="00360177">
      <w:pPr>
        <w:spacing w:after="120"/>
      </w:pPr>
    </w:p>
    <w:p w14:paraId="45F60E9E" w14:textId="77777777" w:rsidR="00360177" w:rsidRDefault="00000000">
      <w:pPr>
        <w:pBdr>
          <w:bottom w:val="single" w:sz="8" w:space="2" w:color="2E75B6"/>
        </w:pBdr>
        <w:spacing w:before="200" w:after="100"/>
      </w:pPr>
      <w:r>
        <w:rPr>
          <w:b/>
          <w:bCs/>
          <w:color w:val="1F4E79"/>
          <w:sz w:val="26"/>
          <w:szCs w:val="26"/>
        </w:rPr>
        <w:t>5. Intégration CPV – Revue mensuelle</w:t>
      </w:r>
    </w:p>
    <w:p w14:paraId="0B9B9A2B" w14:textId="77777777" w:rsidR="00360177" w:rsidRDefault="0036017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360177" w14:paraId="111D1D7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762422" w14:textId="77777777" w:rsidR="00360177" w:rsidRDefault="00000000">
            <w:r>
              <w:rPr>
                <w:b/>
                <w:bCs/>
                <w:color w:val="1F4E79"/>
              </w:rPr>
              <w:t>Fréquence de revue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E551541" w14:textId="77777777" w:rsidR="00360177" w:rsidRDefault="00000000">
            <w:r>
              <w:t>Mensuelle – incluse dans le rapport CPV METH-HPLC-CARD-001</w:t>
            </w:r>
          </w:p>
        </w:tc>
      </w:tr>
      <w:tr w:rsidR="00360177" w14:paraId="54252CD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500BA5F" w14:textId="77777777" w:rsidR="00360177" w:rsidRDefault="00000000">
            <w:r>
              <w:rPr>
                <w:b/>
                <w:bCs/>
                <w:color w:val="1F4E79"/>
              </w:rPr>
              <w:t>Indicateurs suivis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7FA9B51" w14:textId="77777777" w:rsidR="00360177" w:rsidRDefault="00000000">
            <w:r>
              <w:t>Taux d'alertes / mois, tendances Nelson Test 1, nb d'événements qualité injection</w:t>
            </w:r>
          </w:p>
        </w:tc>
      </w:tr>
      <w:tr w:rsidR="00360177" w14:paraId="44A193F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1373490" w14:textId="77777777" w:rsidR="00360177" w:rsidRDefault="00000000">
            <w:r>
              <w:rPr>
                <w:b/>
                <w:bCs/>
                <w:color w:val="1F4E79"/>
              </w:rPr>
              <w:t>Seuil de révision KPI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DE85214" w14:textId="77777777" w:rsidR="00360177" w:rsidRDefault="00000000">
            <w:r>
              <w:t>Si taux d'alertes &gt; 5 % sur 3 mois consécutifs → réévaluation des limites</w:t>
            </w:r>
          </w:p>
        </w:tc>
      </w:tr>
      <w:tr w:rsidR="00360177" w14:paraId="0DCC3A2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5B66E9C" w14:textId="77777777" w:rsidR="00360177" w:rsidRDefault="00000000">
            <w:r>
              <w:rPr>
                <w:b/>
                <w:bCs/>
                <w:color w:val="1F4E79"/>
              </w:rPr>
              <w:t>Lien avec OOS/OOT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BDFE29" w14:textId="77777777" w:rsidR="00360177" w:rsidRDefault="00000000">
            <w:r>
              <w:t>Tout OOS lié à une injection défectueuse déclenche la revue de ce KPI</w:t>
            </w:r>
          </w:p>
        </w:tc>
      </w:tr>
      <w:tr w:rsidR="00360177" w14:paraId="56C946A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EE06433" w14:textId="77777777" w:rsidR="00360177" w:rsidRDefault="00000000">
            <w:r>
              <w:rPr>
                <w:b/>
                <w:bCs/>
                <w:color w:val="1F4E79"/>
              </w:rPr>
              <w:t>Document de référence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170FDE7" w14:textId="77777777" w:rsidR="00360177" w:rsidRDefault="00000000">
            <w:r>
              <w:t>CPV-CARD-001 – Rapport de performance analytique mensuel</w:t>
            </w:r>
          </w:p>
        </w:tc>
      </w:tr>
    </w:tbl>
    <w:p w14:paraId="02A97128" w14:textId="77777777" w:rsidR="00360177" w:rsidRDefault="00360177">
      <w:pPr>
        <w:spacing w:after="120"/>
      </w:pPr>
    </w:p>
    <w:p w14:paraId="3966CD3E" w14:textId="77777777" w:rsidR="00360177" w:rsidRDefault="00000000">
      <w:pPr>
        <w:pBdr>
          <w:bottom w:val="single" w:sz="8" w:space="2" w:color="2E75B6"/>
        </w:pBdr>
        <w:spacing w:before="200" w:after="100"/>
      </w:pPr>
      <w:r>
        <w:rPr>
          <w:b/>
          <w:bCs/>
          <w:color w:val="1F4E79"/>
          <w:sz w:val="26"/>
          <w:szCs w:val="26"/>
        </w:rPr>
        <w:t>6. Approbations</w:t>
      </w:r>
    </w:p>
    <w:p w14:paraId="37DCA8D4" w14:textId="77777777" w:rsidR="00360177" w:rsidRDefault="00360177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0"/>
        <w:gridCol w:w="560"/>
        <w:gridCol w:w="4400"/>
      </w:tblGrid>
      <w:tr w:rsidR="00360177" w14:paraId="153F339D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745ADAD" w14:textId="77777777" w:rsidR="00360177" w:rsidRDefault="00000000">
            <w:r>
              <w:rPr>
                <w:color w:val="555555"/>
                <w:sz w:val="18"/>
                <w:szCs w:val="18"/>
              </w:rPr>
              <w:t>Rédacteur</w:t>
            </w:r>
          </w:p>
          <w:p w14:paraId="37248576" w14:textId="46869ACE" w:rsidR="00360177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 xml:space="preserve">️  </w:t>
            </w:r>
            <w:r w:rsidR="008020C3">
              <w:rPr>
                <w:b/>
                <w:bCs/>
                <w:color w:val="1F4E79"/>
                <w:sz w:val="22"/>
                <w:szCs w:val="22"/>
              </w:rPr>
              <w:t>Rachid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</w:t>
            </w:r>
            <w:r w:rsidR="008020C3">
              <w:rPr>
                <w:b/>
                <w:bCs/>
                <w:color w:val="1F4E79"/>
                <w:sz w:val="22"/>
                <w:szCs w:val="22"/>
              </w:rPr>
              <w:t>B</w:t>
            </w:r>
            <w:r>
              <w:rPr>
                <w:b/>
                <w:bCs/>
                <w:color w:val="1F4E79"/>
                <w:sz w:val="22"/>
                <w:szCs w:val="22"/>
              </w:rPr>
              <w:t>.</w:t>
            </w:r>
          </w:p>
          <w:p w14:paraId="0F20E1E0" w14:textId="77777777" w:rsidR="00360177" w:rsidRDefault="00000000">
            <w:r>
              <w:rPr>
                <w:i/>
                <w:iCs/>
                <w:color w:val="555555"/>
                <w:sz w:val="18"/>
                <w:szCs w:val="18"/>
              </w:rPr>
              <w:t>Analyste QC</w:t>
            </w:r>
          </w:p>
          <w:p w14:paraId="7B861853" w14:textId="77777777" w:rsidR="00360177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  <w:tc>
          <w:tcPr>
            <w:tcW w:w="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2603311" w14:textId="77777777" w:rsidR="00360177" w:rsidRDefault="00360177"/>
        </w:tc>
        <w:tc>
          <w:tcPr>
            <w:tcW w:w="4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F940A64" w14:textId="77777777" w:rsidR="00360177" w:rsidRDefault="00000000">
            <w:r>
              <w:rPr>
                <w:color w:val="555555"/>
                <w:sz w:val="18"/>
                <w:szCs w:val="18"/>
              </w:rPr>
              <w:t>Approbateur</w:t>
            </w:r>
          </w:p>
          <w:p w14:paraId="0D5F516F" w14:textId="5B09D7BD" w:rsidR="00360177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Dr.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A. M</w:t>
            </w:r>
          </w:p>
          <w:p w14:paraId="1CC3BE28" w14:textId="77777777" w:rsidR="00360177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Qualité Contrôle</w:t>
            </w:r>
          </w:p>
          <w:p w14:paraId="1C62CC2A" w14:textId="77777777" w:rsidR="00360177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</w:tr>
    </w:tbl>
    <w:p w14:paraId="34ABC509" w14:textId="77777777" w:rsidR="00360177" w:rsidRDefault="00360177">
      <w:pPr>
        <w:spacing w:after="60"/>
      </w:pPr>
    </w:p>
    <w:sectPr w:rsidR="00360177">
      <w:headerReference w:type="default" r:id="rId7"/>
      <w:footerReference w:type="default" r:id="rId8"/>
      <w:pgSz w:w="11906" w:h="16838"/>
      <w:pgMar w:top="1000" w:right="1100" w:bottom="10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D9D8C" w14:textId="77777777" w:rsidR="007E7713" w:rsidRDefault="007E7713">
      <w:r>
        <w:separator/>
      </w:r>
    </w:p>
  </w:endnote>
  <w:endnote w:type="continuationSeparator" w:id="0">
    <w:p w14:paraId="740A035E" w14:textId="77777777" w:rsidR="007E7713" w:rsidRDefault="007E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A4A7" w14:textId="77777777" w:rsidR="00360177" w:rsidRDefault="00000000">
    <w:pPr>
      <w:pBdr>
        <w:top w:val="single" w:sz="4" w:space="4" w:color="2E75B6"/>
      </w:pBdr>
    </w:pPr>
    <w:r>
      <w:rPr>
        <w:color w:val="666666"/>
        <w:sz w:val="16"/>
        <w:szCs w:val="16"/>
      </w:rPr>
      <w:t>KPI-MSP-</w:t>
    </w:r>
    <w:proofErr w:type="gramStart"/>
    <w:r>
      <w:rPr>
        <w:color w:val="666666"/>
        <w:sz w:val="16"/>
        <w:szCs w:val="16"/>
      </w:rPr>
      <w:t>004  |</w:t>
    </w:r>
    <w:proofErr w:type="gramEnd"/>
    <w:r>
      <w:rPr>
        <w:color w:val="666666"/>
        <w:sz w:val="16"/>
        <w:szCs w:val="16"/>
      </w:rPr>
      <w:t xml:space="preserve">  METH-HPLC-CARD-</w:t>
    </w:r>
    <w:proofErr w:type="gramStart"/>
    <w:r>
      <w:rPr>
        <w:color w:val="666666"/>
        <w:sz w:val="16"/>
        <w:szCs w:val="16"/>
      </w:rPr>
      <w:t>001  |</w:t>
    </w:r>
    <w:proofErr w:type="gramEnd"/>
    <w:r>
      <w:rPr>
        <w:color w:val="666666"/>
        <w:sz w:val="16"/>
        <w:szCs w:val="16"/>
      </w:rPr>
      <w:t xml:space="preserve">  Confidentiel – Usage interne QC     Page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PAGE</w:instrText>
    </w:r>
    <w:r>
      <w:rPr>
        <w:color w:val="666666"/>
        <w:sz w:val="16"/>
        <w:szCs w:val="16"/>
      </w:rPr>
      <w:fldChar w:fldCharType="separate"/>
    </w:r>
    <w:r w:rsidR="00B20C99">
      <w:rPr>
        <w:noProof/>
        <w:color w:val="666666"/>
        <w:sz w:val="16"/>
        <w:szCs w:val="16"/>
      </w:rPr>
      <w:t>1</w:t>
    </w:r>
    <w:r>
      <w:rPr>
        <w:color w:val="666666"/>
        <w:sz w:val="16"/>
        <w:szCs w:val="16"/>
      </w:rPr>
      <w:fldChar w:fldCharType="end"/>
    </w:r>
    <w:r>
      <w:rPr>
        <w:color w:val="666666"/>
        <w:sz w:val="16"/>
        <w:szCs w:val="16"/>
      </w:rPr>
      <w:t xml:space="preserve"> /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NUMPAGES</w:instrText>
    </w:r>
    <w:r>
      <w:rPr>
        <w:color w:val="666666"/>
        <w:sz w:val="16"/>
        <w:szCs w:val="16"/>
      </w:rPr>
      <w:fldChar w:fldCharType="separate"/>
    </w:r>
    <w:r w:rsidR="00B20C99">
      <w:rPr>
        <w:noProof/>
        <w:color w:val="666666"/>
        <w:sz w:val="16"/>
        <w:szCs w:val="16"/>
      </w:rPr>
      <w:t>2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75220" w14:textId="77777777" w:rsidR="007E7713" w:rsidRDefault="007E7713">
      <w:r>
        <w:separator/>
      </w:r>
    </w:p>
  </w:footnote>
  <w:footnote w:type="continuationSeparator" w:id="0">
    <w:p w14:paraId="0BE3C537" w14:textId="77777777" w:rsidR="007E7713" w:rsidRDefault="007E7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600"/>
      <w:gridCol w:w="2906"/>
    </w:tblGrid>
    <w:tr w:rsidR="00360177" w14:paraId="2714B09C" w14:textId="77777777">
      <w:tblPrEx>
        <w:tblCellMar>
          <w:top w:w="0" w:type="dxa"/>
          <w:bottom w:w="0" w:type="dxa"/>
        </w:tblCellMar>
      </w:tblPrEx>
      <w:tc>
        <w:tcPr>
          <w:tcW w:w="66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F4E79"/>
          <w:tcMar>
            <w:top w:w="140" w:type="dxa"/>
            <w:left w:w="200" w:type="dxa"/>
            <w:bottom w:w="140" w:type="dxa"/>
            <w:right w:w="200" w:type="dxa"/>
          </w:tcMar>
          <w:vAlign w:val="center"/>
        </w:tcPr>
        <w:p w14:paraId="3CFA59DB" w14:textId="77777777" w:rsidR="00360177" w:rsidRDefault="00000000">
          <w:r>
            <w:rPr>
              <w:b/>
              <w:bCs/>
              <w:color w:val="FFFFFF"/>
              <w:sz w:val="28"/>
              <w:szCs w:val="28"/>
            </w:rPr>
            <w:t>FICHE KPI MSP</w:t>
          </w:r>
        </w:p>
        <w:p w14:paraId="6B560232" w14:textId="77777777" w:rsidR="00360177" w:rsidRDefault="00000000">
          <w:r>
            <w:rPr>
              <w:color w:val="BDD7EE"/>
              <w:sz w:val="18"/>
              <w:szCs w:val="18"/>
            </w:rPr>
            <w:t>KPI-MSP-</w:t>
          </w:r>
          <w:proofErr w:type="gramStart"/>
          <w:r>
            <w:rPr>
              <w:color w:val="BDD7EE"/>
              <w:sz w:val="18"/>
              <w:szCs w:val="18"/>
            </w:rPr>
            <w:t>004  |</w:t>
          </w:r>
          <w:proofErr w:type="gramEnd"/>
          <w:r>
            <w:rPr>
              <w:color w:val="BDD7EE"/>
              <w:sz w:val="18"/>
              <w:szCs w:val="18"/>
            </w:rPr>
            <w:t xml:space="preserve">  Variabilité </w:t>
          </w:r>
          <w:proofErr w:type="gramStart"/>
          <w:r>
            <w:rPr>
              <w:color w:val="BDD7EE"/>
              <w:sz w:val="18"/>
              <w:szCs w:val="18"/>
            </w:rPr>
            <w:t>Injection  |</w:t>
          </w:r>
          <w:proofErr w:type="gramEnd"/>
          <w:r>
            <w:rPr>
              <w:color w:val="BDD7EE"/>
              <w:sz w:val="18"/>
              <w:szCs w:val="18"/>
            </w:rPr>
            <w:t xml:space="preserve">  METH-HPLC-CARD-001</w:t>
          </w:r>
        </w:p>
      </w:tc>
      <w:tc>
        <w:tcPr>
          <w:tcW w:w="290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E75B6"/>
          <w:tcMar>
            <w:top w:w="140" w:type="dxa"/>
            <w:left w:w="160" w:type="dxa"/>
            <w:bottom w:w="140" w:type="dxa"/>
            <w:right w:w="160" w:type="dxa"/>
          </w:tcMar>
          <w:vAlign w:val="center"/>
        </w:tcPr>
        <w:p w14:paraId="5D9F179F" w14:textId="77777777" w:rsidR="00360177" w:rsidRDefault="00000000">
          <w:pPr>
            <w:jc w:val="center"/>
          </w:pPr>
          <w:r>
            <w:rPr>
              <w:b/>
              <w:bCs/>
              <w:color w:val="FFFFFF"/>
              <w:sz w:val="18"/>
              <w:szCs w:val="18"/>
            </w:rPr>
            <w:t>Version : 1.0</w:t>
          </w:r>
        </w:p>
        <w:p w14:paraId="3B5A187C" w14:textId="77777777" w:rsidR="00360177" w:rsidRDefault="00000000">
          <w:pPr>
            <w:jc w:val="center"/>
          </w:pPr>
          <w:r>
            <w:rPr>
              <w:color w:val="BDD7EE"/>
              <w:sz w:val="18"/>
              <w:szCs w:val="18"/>
            </w:rPr>
            <w:t>Date : 19/04/2026</w:t>
          </w:r>
        </w:p>
        <w:p w14:paraId="0A6A3234" w14:textId="77777777" w:rsidR="00360177" w:rsidRDefault="00000000">
          <w:pPr>
            <w:jc w:val="center"/>
          </w:pPr>
          <w:r>
            <w:rPr>
              <w:color w:val="BDD7EE"/>
              <w:sz w:val="18"/>
              <w:szCs w:val="18"/>
            </w:rPr>
            <w:t>Statut : Approuvé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A7F15"/>
    <w:multiLevelType w:val="hybridMultilevel"/>
    <w:tmpl w:val="411C63F2"/>
    <w:lvl w:ilvl="0" w:tplc="9350F886">
      <w:start w:val="1"/>
      <w:numFmt w:val="bullet"/>
      <w:lvlText w:val="•"/>
      <w:lvlJc w:val="left"/>
      <w:pPr>
        <w:ind w:left="440" w:hanging="220"/>
      </w:pPr>
    </w:lvl>
    <w:lvl w:ilvl="1" w:tplc="AF2A66AE">
      <w:numFmt w:val="decimal"/>
      <w:lvlText w:val=""/>
      <w:lvlJc w:val="left"/>
    </w:lvl>
    <w:lvl w:ilvl="2" w:tplc="AA24CB68">
      <w:numFmt w:val="decimal"/>
      <w:lvlText w:val=""/>
      <w:lvlJc w:val="left"/>
    </w:lvl>
    <w:lvl w:ilvl="3" w:tplc="EB387650">
      <w:numFmt w:val="decimal"/>
      <w:lvlText w:val=""/>
      <w:lvlJc w:val="left"/>
    </w:lvl>
    <w:lvl w:ilvl="4" w:tplc="7EEA3828">
      <w:numFmt w:val="decimal"/>
      <w:lvlText w:val=""/>
      <w:lvlJc w:val="left"/>
    </w:lvl>
    <w:lvl w:ilvl="5" w:tplc="A86CB0BA">
      <w:numFmt w:val="decimal"/>
      <w:lvlText w:val=""/>
      <w:lvlJc w:val="left"/>
    </w:lvl>
    <w:lvl w:ilvl="6" w:tplc="50F88BB0">
      <w:numFmt w:val="decimal"/>
      <w:lvlText w:val=""/>
      <w:lvlJc w:val="left"/>
    </w:lvl>
    <w:lvl w:ilvl="7" w:tplc="565C898A">
      <w:numFmt w:val="decimal"/>
      <w:lvlText w:val=""/>
      <w:lvlJc w:val="left"/>
    </w:lvl>
    <w:lvl w:ilvl="8" w:tplc="D7B83140">
      <w:numFmt w:val="decimal"/>
      <w:lvlText w:val=""/>
      <w:lvlJc w:val="left"/>
    </w:lvl>
  </w:abstractNum>
  <w:abstractNum w:abstractNumId="1" w15:restartNumberingAfterBreak="0">
    <w:nsid w:val="53373A24"/>
    <w:multiLevelType w:val="hybridMultilevel"/>
    <w:tmpl w:val="7B447F3A"/>
    <w:lvl w:ilvl="0" w:tplc="36C8EBB6">
      <w:start w:val="1"/>
      <w:numFmt w:val="bullet"/>
      <w:lvlText w:val="●"/>
      <w:lvlJc w:val="left"/>
      <w:pPr>
        <w:ind w:left="720" w:hanging="360"/>
      </w:pPr>
    </w:lvl>
    <w:lvl w:ilvl="1" w:tplc="26A61616">
      <w:start w:val="1"/>
      <w:numFmt w:val="bullet"/>
      <w:lvlText w:val="○"/>
      <w:lvlJc w:val="left"/>
      <w:pPr>
        <w:ind w:left="1440" w:hanging="360"/>
      </w:pPr>
    </w:lvl>
    <w:lvl w:ilvl="2" w:tplc="9418F736">
      <w:start w:val="1"/>
      <w:numFmt w:val="bullet"/>
      <w:lvlText w:val="■"/>
      <w:lvlJc w:val="left"/>
      <w:pPr>
        <w:ind w:left="2160" w:hanging="360"/>
      </w:pPr>
    </w:lvl>
    <w:lvl w:ilvl="3" w:tplc="635AF920">
      <w:start w:val="1"/>
      <w:numFmt w:val="bullet"/>
      <w:lvlText w:val="●"/>
      <w:lvlJc w:val="left"/>
      <w:pPr>
        <w:ind w:left="2880" w:hanging="360"/>
      </w:pPr>
    </w:lvl>
    <w:lvl w:ilvl="4" w:tplc="F7C4E62A">
      <w:start w:val="1"/>
      <w:numFmt w:val="bullet"/>
      <w:lvlText w:val="○"/>
      <w:lvlJc w:val="left"/>
      <w:pPr>
        <w:ind w:left="3600" w:hanging="360"/>
      </w:pPr>
    </w:lvl>
    <w:lvl w:ilvl="5" w:tplc="8A4C1FDA">
      <w:start w:val="1"/>
      <w:numFmt w:val="bullet"/>
      <w:lvlText w:val="■"/>
      <w:lvlJc w:val="left"/>
      <w:pPr>
        <w:ind w:left="4320" w:hanging="360"/>
      </w:pPr>
    </w:lvl>
    <w:lvl w:ilvl="6" w:tplc="78889BAC">
      <w:start w:val="1"/>
      <w:numFmt w:val="bullet"/>
      <w:lvlText w:val="●"/>
      <w:lvlJc w:val="left"/>
      <w:pPr>
        <w:ind w:left="5040" w:hanging="360"/>
      </w:pPr>
    </w:lvl>
    <w:lvl w:ilvl="7" w:tplc="7B62FEC0">
      <w:start w:val="1"/>
      <w:numFmt w:val="bullet"/>
      <w:lvlText w:val="●"/>
      <w:lvlJc w:val="left"/>
      <w:pPr>
        <w:ind w:left="5760" w:hanging="360"/>
      </w:pPr>
    </w:lvl>
    <w:lvl w:ilvl="8" w:tplc="B2120030">
      <w:start w:val="1"/>
      <w:numFmt w:val="bullet"/>
      <w:lvlText w:val="●"/>
      <w:lvlJc w:val="left"/>
      <w:pPr>
        <w:ind w:left="6480" w:hanging="360"/>
      </w:pPr>
    </w:lvl>
  </w:abstractNum>
  <w:num w:numId="1" w16cid:durableId="23640750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177"/>
    <w:rsid w:val="00360177"/>
    <w:rsid w:val="007E7713"/>
    <w:rsid w:val="008020C3"/>
    <w:rsid w:val="00B20C99"/>
    <w:rsid w:val="00D2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6A6B"/>
  <w15:docId w15:val="{2F023CED-A508-442D-A97E-EA6BDD45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3</cp:revision>
  <dcterms:created xsi:type="dcterms:W3CDTF">2026-03-13T09:53:00Z</dcterms:created>
  <dcterms:modified xsi:type="dcterms:W3CDTF">2026-03-13T09:53:00Z</dcterms:modified>
</cp:coreProperties>
</file>